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Bläulingszikade</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22.01.2025 08:54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Bläulingszikade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Metcalfa
pruinosa</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21.08.2024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Die
Bläulingszikade
ist
eine
invasive
Art
und
saugt
Pflanzensaft
von
vielen
verschiedenen
Wirtspflanzen.
Dadurch
können
das
Pflanzenwachstum
und
die
Ausbildung
von
Früchten
beeinträchtigt
werden.
Zusätzlich
erzeugen
Bläulingszikaden
sehr
viel
Honigtau.</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Das
erwachsene
Tier
erreicht
samt
Flügeln
eine
Länge
von
etwa
8
mm.
Seine
Grundfarbe
ist
graublau,
woher
auch
der
deutsche
Name
rührt.
Die
Flügel
sind
teilweise
von
weißen
Wachsflöckchen
bedeckt.</w:t>
      </w:r>
    </w:p>
    <w:p>
      <w:pPr>
        <w:widowControl w:val="on"/>
        <w:pBdr/>
        <w:spacing w:before="240" w:after="240" w:line="240" w:lineRule="auto"/>
        <w:ind w:left="0" w:right="0"/>
        <w:jc w:val="left"/>
      </w:pPr>
      <w:r>
        <w:rPr>
          <w:rFonts w:ascii="Tahoma" w:hAnsi="Tahoma" w:eastAsia="Tahoma" w:cs="Tahoma"/>
          <w:color w:val="000000"/>
          <w:sz w:val="24"/>
          <w:szCs w:val="24"/>
        </w:rPr>
        <w:t xml:space="preserve">
Die
Larven
sind
weißlich
bis
zartgrün
und
sind
von
auffallenden
weißen
Wachsfäden
eingehüllt.</w:t>
      </w:r>
    </w:p>
    <w:p>
      <w:pPr>
        <w:widowControl w:val="on"/>
        <w:pBdr/>
        <w:spacing w:before="240" w:after="240" w:line="240" w:lineRule="auto"/>
        <w:ind w:left="0" w:right="0"/>
        <w:jc w:val="left"/>
      </w:pPr>
      <w:r>
        <w:rPr>
          <w:rFonts w:ascii="Tahoma" w:hAnsi="Tahoma" w:eastAsia="Tahoma" w:cs="Tahoma"/>
          <w:color w:val="000000"/>
          <w:sz w:val="24"/>
          <w:szCs w:val="24"/>
        </w:rPr>
        <w:t xml:space="preserve">
Die
Eier
sind
länglich
oval
und
messen
etwa
0,8
mm.</w:t>
      </w:r>
    </w:p>
    <w:p>
      <w:r>
        <w:drawing>
          <wp:inline distT="0" distB="0" distL="0" distR="0">
            <wp:extent cx="5400000" cy="4046400"/>
            <wp:docPr id="92999462" name="name75136790a418762a0" descr="csm_Metcalfa_adult__Photo_Moosbeckhofer_1000_1000_web-01_1d58ff8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etcalfa_adult__Photo_Moosbeckhofer_1000_1000_web-01_1d58ff887c.jpg"/>
                    <pic:cNvPicPr/>
                  </pic:nvPicPr>
                  <pic:blipFill>
                    <a:blip r:embed="rId46076790a4187629a"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Bläulingszikade</w:t>
      </w:r>
      <w:fldSimple w:instr=" SEQ Figure \* ARABIC ">
        <w:r>
          <w:rPr>
            <w:noProof/>
          </w:rPr>
          <w:t/>
        </w:r>
      </w:fldSimple>
      <w:bookmarkStart w:id="5224520" w:name=""/>
      <w:bookmarkEnd w:id="5224520"/>
    </w:p>
    <w:p>
      <w:r>
        <w:drawing>
          <wp:inline distT="0" distB="0" distL="0" distR="0">
            <wp:extent cx="5400000" cy="4046400"/>
            <wp:docPr id="51387997" name="name77516790a41886fbd" descr="csm_Blaeulingszikade_Metcalfa_pruinosa_2_web-01_184fea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Blaeulingszikade_Metcalfa_pruinosa_2_web-01_184fea3622.jpg"/>
                    <pic:cNvPicPr/>
                  </pic:nvPicPr>
                  <pic:blipFill>
                    <a:blip r:embed="rId30716790a41886fb7"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
der
Bläulingszikade</w:t>
      </w:r>
      <w:fldSimple w:instr=" SEQ Figure \* ARABIC ">
        <w:r>
          <w:rPr>
            <w:noProof/>
          </w:rPr>
          <w:t/>
        </w:r>
      </w:fldSimple>
      <w:bookmarkStart w:id="4695082" w:name=""/>
      <w:bookmarkEnd w:id="4695082"/>
    </w:p>
    <w:p>
      <w:r>
        <w:drawing>
          <wp:inline distT="0" distB="0" distL="0" distR="0">
            <wp:extent cx="5400000" cy="4046400"/>
            <wp:docPr id="12427214" name="name64286790a41897dfa" descr="csm_Lvessigbaum_DSCN2751_web-01_7d7d753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Lvessigbaum_DSCN2751_web-01_7d7d7537c1.jpg"/>
                    <pic:cNvPicPr/>
                  </pic:nvPicPr>
                  <pic:blipFill>
                    <a:blip r:embed="rId54866790a41897df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Larven
der
Bläulingszikade
auf
Essigbaum</w:t>
      </w:r>
      <w:fldSimple w:instr=" SEQ Figure \* ARABIC ">
        <w:r>
          <w:rPr>
            <w:noProof/>
          </w:rPr>
          <w:t/>
        </w:r>
      </w:fldSimple>
      <w:bookmarkStart w:id="1574098" w:name=""/>
      <w:bookmarkEnd w:id="1574098"/>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Die
Bläulingszikade
gehört
zur
Familie
der
Schmetterlingszikaden.
Zur
Nahrungsaufnahme
sticht
das
Tier
mit
seinem
Saugrüssel
Leitungsbahnen
der
Wirtspflanzen
an
und
saugt
den
darin
transportierten
zuckerhältigen
Pflanzensaft
auf.
Überschüssiger
Zuckersaft
wird
als
Honigtau
ausgeschieden. </w:t>
      </w:r>
    </w:p>
    <w:p>
      <w:pPr>
        <w:widowControl w:val="on"/>
        <w:pBdr/>
        <w:spacing w:before="240" w:after="240" w:line="240" w:lineRule="auto"/>
        <w:ind w:left="0" w:right="0"/>
        <w:jc w:val="left"/>
      </w:pPr>
      <w:r>
        <w:rPr>
          <w:rFonts w:ascii="Tahoma" w:hAnsi="Tahoma" w:eastAsia="Tahoma" w:cs="Tahoma"/>
          <w:color w:val="000000"/>
          <w:sz w:val="24"/>
          <w:szCs w:val="24"/>
        </w:rPr>
        <w:t xml:space="preserve">
Erwachsene
Zikaden
fliegen
von
August
bis
in
den
Spätherbst
und
legen
ihre
Eier
in
weichen
Kork
oder
Korkporen
(Lentizellen)
von
Zweigen,
Ästen
oder
Stämmen.
Die
Eier
ragen
teilweise
ins
Freie.
Nach
der
Überwinterung
schlüpfen
daraus
ab
Ende
Mai
die
Larven.
Diese
Larven
können
ausgezeichnet
springen.
Sie
ernähren
sich
wie
die
erwachsenen
Zikaden
durch
Saugen
von
Pflanzensäften.
Im
Zuge
ihrer
Entwicklung
durchlaufen
sie
fünf
Larvenstadien
-
in
den
beiden
letzten
sind
bereits
äußerliche
Flügelanlagen
erkennbar.
Ab
ca.
Mitte
Juli
treten
die
erwachsenen,
flugfähigen
Zikaden
auf.
Die
Bläulingszikade
ist
kein
Überträger
von
Viren
und
Phytoplasmen.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Infolge
der
Saugtätigkeit
kann
das
Pflanzenwachstum
und
die
Ausbildung
von
Früchten
beeinträchtigt
werden.
Durch
die
Erzeugung
von
Honigtau
mit
darauf
siedelnden
Schwärzepilzen
(Rußtau)
werden
die
Wirtspflanzen
und
deren
Früchte
verunreinigt
und
dadurch
deren
Qualität
vermindert.
An
Ziergehölzen
führen
Häutungsreste
von
Larven
und
Wachswolle
zu
einer
optischen
Beeinträchtigung.</w:t>
      </w:r>
    </w:p>
    <w:p>
      <w:pPr>
        <w:widowControl w:val="on"/>
        <w:pBdr/>
        <w:spacing w:before="240" w:after="240" w:line="240" w:lineRule="auto"/>
        <w:ind w:left="0" w:right="0"/>
        <w:jc w:val="left"/>
      </w:pPr>
      <w:r>
        <w:rPr>
          <w:rFonts w:ascii="Tahoma" w:hAnsi="Tahoma" w:eastAsia="Tahoma" w:cs="Tahoma"/>
          <w:color w:val="000000"/>
          <w:sz w:val="24"/>
          <w:szCs w:val="24"/>
        </w:rPr>
        <w:t xml:space="preserve">
Von
Imkern
werden
Bläulingszikaden
sehr
gerne
gesehen,
da
bei
starkem
Zikadenauftreten
im
Spätsommer
sehr
viel
Honigtau
erzeugt
wird,
der
in
dieser
trachtarmen
Zeit
eine
vorzügliche
Bienennahrung
darstellt.</w:t>
      </w:r>
    </w:p>
    <w:p>
      <w:r>
        <w:drawing>
          <wp:inline distT="0" distB="0" distL="0" distR="0">
            <wp:extent cx="5400000" cy="4046400"/>
            <wp:docPr id="18963546" name="name22946790a418a8e69" descr="csm_Kriecherl_Befall-Metcalfa-pruinosa_web-01_60b751a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riecherl_Befall-Metcalfa-pruinosa_web-01_60b751a6c0.jpg"/>
                    <pic:cNvPicPr/>
                  </pic:nvPicPr>
                  <pic:blipFill>
                    <a:blip r:embed="rId58716790a418a8e64"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
der
Bläulingszikade
an
Kriecherl</w:t>
      </w:r>
      <w:fldSimple w:instr=" SEQ Figure \* ARABIC ">
        <w:r>
          <w:rPr>
            <w:noProof/>
          </w:rPr>
          <w:t/>
        </w:r>
      </w:fldSimple>
      <w:bookmarkStart w:id="6586222" w:name=""/>
      <w:bookmarkEnd w:id="6586222"/>
    </w:p>
    <w:p>
      <w:r>
        <w:drawing>
          <wp:inline distT="0" distB="0" distL="0" distR="0">
            <wp:extent cx="5400000" cy="4046400"/>
            <wp:docPr id="5431508" name="name91446790a418b971b" descr="csm_Parthenocissus-Honigtau-Metcalfa-pruinosa_web-01_9405301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Parthenocissus-Honigtau-Metcalfa-pruinosa_web-01_940530146b.jpg"/>
                    <pic:cNvPicPr/>
                  </pic:nvPicPr>
                  <pic:blipFill>
                    <a:blip r:embed="rId99026790a418b9714"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Honigtau
an
Wildem
Wein</w:t>
      </w:r>
      <w:fldSimple w:instr=" SEQ Figure \* ARABIC ">
        <w:r>
          <w:rPr>
            <w:noProof/>
          </w:rPr>
          <w:t/>
        </w:r>
      </w:fldSimple>
      <w:bookmarkStart w:id="3164010" w:name=""/>
      <w:bookmarkEnd w:id="3164010"/>
    </w:p>
    <w:p>
      <w:r>
        <w:drawing>
          <wp:inline distT="0" distB="0" distL="0" distR="0">
            <wp:extent cx="5400000" cy="4046400"/>
            <wp:docPr id="18130285" name="name72026790a418ccfe0" descr="csm_Russtaupilze_auf-Honigtau-Metcalfa-pruinosa_web-01_84d72fb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Russtaupilze_auf-Honigtau-Metcalfa-pruinosa_web-01_84d72fb0c7.jpg"/>
                    <pic:cNvPicPr/>
                  </pic:nvPicPr>
                  <pic:blipFill>
                    <a:blip r:embed="rId41936790a418ccfdc"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Russtaupilze
auf
Honigtauausscheidungen
der
Bläulingszikade</w:t>
      </w:r>
      <w:fldSimple w:instr=" SEQ Figure \* ARABIC ">
        <w:r>
          <w:rPr>
            <w:noProof/>
          </w:rPr>
          <w:t/>
        </w:r>
      </w:fldSimple>
      <w:bookmarkStart w:id="7014856" w:name=""/>
      <w:bookmarkEnd w:id="7014856"/>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Die
Bläulingszikade
hat
einen
großen
Wirtspflanzenkreis.
Hauptsächlich
saugt
sie
an
Gehölzen,
seltener
auch
an
krautigen
Pflanzen.
In
Österreich
wurde
sie
bisher
an
290
Pflanzenarten
festgestellt.
Einige
Beispiele
stark
betroffener
Pflanzen
sind: </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Ahorn
(</w:t>
      </w:r>
      <w:r>
        <w:rPr>
          <w:rFonts w:ascii="Tahoma" w:hAnsi="Tahoma" w:eastAsia="Tahoma" w:cs="Tahoma"/>
          <w:i/>
          <w:iCs/>
          <w:color w:val="000000"/>
          <w:sz w:val="24"/>
          <w:szCs w:val="24"/>
        </w:rPr>
        <w:t xml:space="preserve">Acer</w:t>
      </w:r>
      <w:r>
        <w:rPr>
          <w:rFonts w:ascii="Tahoma" w:hAnsi="Tahoma" w:eastAsia="Tahoma" w:cs="Tahoma"/>
          <w:color w:val="000000"/>
          <w:sz w:val="24"/>
          <w:szCs w:val="24"/>
        </w:rPr>
        <w:t xml:space="preserve">
sp.)</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Apfel
(</w:t>
      </w:r>
      <w:r>
        <w:rPr>
          <w:rFonts w:ascii="Tahoma" w:hAnsi="Tahoma" w:eastAsia="Tahoma" w:cs="Tahoma"/>
          <w:i/>
          <w:iCs/>
          <w:color w:val="000000"/>
          <w:sz w:val="24"/>
          <w:szCs w:val="24"/>
        </w:rPr>
        <w:t xml:space="preserve">Malus</w:t>
      </w:r>
      <w:r>
        <w:rPr>
          <w:rFonts w:ascii="Tahoma" w:hAnsi="Tahoma" w:eastAsia="Tahoma" w:cs="Tahoma"/>
          <w:color w:val="000000"/>
          <w:sz w:val="24"/>
          <w:szCs w:val="24"/>
        </w:rPr>
        <w:t xml:space="preserve">
sp.)</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Brennnessel
(</w:t>
      </w:r>
      <w:r>
        <w:rPr>
          <w:rFonts w:ascii="Tahoma" w:hAnsi="Tahoma" w:eastAsia="Tahoma" w:cs="Tahoma"/>
          <w:i/>
          <w:iCs/>
          <w:color w:val="000000"/>
          <w:sz w:val="24"/>
          <w:szCs w:val="24"/>
        </w:rPr>
        <w:t xml:space="preserve">Urtica
dioica</w:t>
      </w:r>
      <w:r>
        <w:rPr>
          <w:rFonts w:ascii="Tahoma" w:hAnsi="Tahoma" w:eastAsia="Tahoma" w:cs="Tahoma"/>
          <w:color w:val="000000"/>
          <w:sz w:val="24"/>
          <w:szCs w:val="24"/>
        </w:rPr>
        <w:t xml:space="preserve">) </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Brombeere
(</w:t>
      </w:r>
      <w:r>
        <w:rPr>
          <w:rFonts w:ascii="Tahoma" w:hAnsi="Tahoma" w:eastAsia="Tahoma" w:cs="Tahoma"/>
          <w:i/>
          <w:iCs/>
          <w:color w:val="000000"/>
          <w:sz w:val="24"/>
          <w:szCs w:val="24"/>
        </w:rPr>
        <w:t xml:space="preserve">Rubus
fruticosus</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Götterbaum
(</w:t>
      </w:r>
      <w:r>
        <w:rPr>
          <w:rFonts w:ascii="Tahoma" w:hAnsi="Tahoma" w:eastAsia="Tahoma" w:cs="Tahoma"/>
          <w:i/>
          <w:iCs/>
          <w:color w:val="000000"/>
          <w:sz w:val="24"/>
          <w:szCs w:val="24"/>
        </w:rPr>
        <w:t xml:space="preserve">Ailanthus
altissima</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Hartriegel
(</w:t>
      </w:r>
      <w:r>
        <w:rPr>
          <w:rFonts w:ascii="Tahoma" w:hAnsi="Tahoma" w:eastAsia="Tahoma" w:cs="Tahoma"/>
          <w:i/>
          <w:iCs/>
          <w:color w:val="000000"/>
          <w:sz w:val="24"/>
          <w:szCs w:val="24"/>
        </w:rPr>
        <w:t xml:space="preserve">Cornus</w:t>
      </w:r>
      <w:r>
        <w:rPr>
          <w:rFonts w:ascii="Tahoma" w:hAnsi="Tahoma" w:eastAsia="Tahoma" w:cs="Tahoma"/>
          <w:color w:val="000000"/>
          <w:sz w:val="24"/>
          <w:szCs w:val="24"/>
        </w:rPr>
        <w:t xml:space="preserve">
sp.)</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Himbeere
(</w:t>
      </w:r>
      <w:r>
        <w:rPr>
          <w:rFonts w:ascii="Tahoma" w:hAnsi="Tahoma" w:eastAsia="Tahoma" w:cs="Tahoma"/>
          <w:i/>
          <w:iCs/>
          <w:color w:val="000000"/>
          <w:sz w:val="24"/>
          <w:szCs w:val="24"/>
        </w:rPr>
        <w:t xml:space="preserve">Rubus
idaeus</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Holunder
(</w:t>
      </w:r>
      <w:r>
        <w:rPr>
          <w:rFonts w:ascii="Tahoma" w:hAnsi="Tahoma" w:eastAsia="Tahoma" w:cs="Tahoma"/>
          <w:i/>
          <w:iCs/>
          <w:color w:val="000000"/>
          <w:sz w:val="24"/>
          <w:szCs w:val="24"/>
        </w:rPr>
        <w:t xml:space="preserve">Sambucus
nigra</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Hortensien
(</w:t>
      </w:r>
      <w:r>
        <w:rPr>
          <w:rFonts w:ascii="Tahoma" w:hAnsi="Tahoma" w:eastAsia="Tahoma" w:cs="Tahoma"/>
          <w:i/>
          <w:iCs/>
          <w:color w:val="000000"/>
          <w:sz w:val="24"/>
          <w:szCs w:val="24"/>
        </w:rPr>
        <w:t xml:space="preserve">Hydrangea</w:t>
      </w:r>
      <w:r>
        <w:rPr>
          <w:rFonts w:ascii="Tahoma" w:hAnsi="Tahoma" w:eastAsia="Tahoma" w:cs="Tahoma"/>
          <w:color w:val="000000"/>
          <w:sz w:val="24"/>
          <w:szCs w:val="24"/>
        </w:rPr>
        <w:t xml:space="preserve">
sp.)</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Marille
(</w:t>
      </w:r>
      <w:r>
        <w:rPr>
          <w:rFonts w:ascii="Tahoma" w:hAnsi="Tahoma" w:eastAsia="Tahoma" w:cs="Tahoma"/>
          <w:i/>
          <w:iCs/>
          <w:color w:val="000000"/>
          <w:sz w:val="24"/>
          <w:szCs w:val="24"/>
        </w:rPr>
        <w:t xml:space="preserve">Prunus
armeniaca</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Pfirsich
(</w:t>
      </w:r>
      <w:r>
        <w:rPr>
          <w:rFonts w:ascii="Tahoma" w:hAnsi="Tahoma" w:eastAsia="Tahoma" w:cs="Tahoma"/>
          <w:i/>
          <w:iCs/>
          <w:color w:val="000000"/>
          <w:sz w:val="24"/>
          <w:szCs w:val="24"/>
        </w:rPr>
        <w:t xml:space="preserve">Prunus
persica</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Ribisel
(</w:t>
      </w:r>
      <w:r>
        <w:rPr>
          <w:rFonts w:ascii="Tahoma" w:hAnsi="Tahoma" w:eastAsia="Tahoma" w:cs="Tahoma"/>
          <w:i/>
          <w:iCs/>
          <w:color w:val="000000"/>
          <w:sz w:val="24"/>
          <w:szCs w:val="24"/>
        </w:rPr>
        <w:t xml:space="preserve">Ribes</w:t>
      </w:r>
      <w:r>
        <w:rPr>
          <w:rFonts w:ascii="Tahoma" w:hAnsi="Tahoma" w:eastAsia="Tahoma" w:cs="Tahoma"/>
          <w:color w:val="000000"/>
          <w:sz w:val="24"/>
          <w:szCs w:val="24"/>
        </w:rPr>
        <w:t xml:space="preserve">
sp.)</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Robinie
(</w:t>
      </w:r>
      <w:r>
        <w:rPr>
          <w:rFonts w:ascii="Tahoma" w:hAnsi="Tahoma" w:eastAsia="Tahoma" w:cs="Tahoma"/>
          <w:i/>
          <w:iCs/>
          <w:color w:val="000000"/>
          <w:sz w:val="24"/>
          <w:szCs w:val="24"/>
        </w:rPr>
        <w:t xml:space="preserve">Robinia
pseudacacia</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Straucheibisch
(</w:t>
      </w:r>
      <w:r>
        <w:rPr>
          <w:rFonts w:ascii="Tahoma" w:hAnsi="Tahoma" w:eastAsia="Tahoma" w:cs="Tahoma"/>
          <w:i/>
          <w:iCs/>
          <w:color w:val="000000"/>
          <w:sz w:val="24"/>
          <w:szCs w:val="24"/>
        </w:rPr>
        <w:t xml:space="preserve">Hibiscus
syriacus</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Waldrebe
(</w:t>
      </w:r>
      <w:r>
        <w:rPr>
          <w:rFonts w:ascii="Tahoma" w:hAnsi="Tahoma" w:eastAsia="Tahoma" w:cs="Tahoma"/>
          <w:i/>
          <w:iCs/>
          <w:color w:val="000000"/>
          <w:sz w:val="24"/>
          <w:szCs w:val="24"/>
        </w:rPr>
        <w:t xml:space="preserve">Clematis
vitalba</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Wein
(</w:t>
      </w:r>
      <w:r>
        <w:rPr>
          <w:rFonts w:ascii="Tahoma" w:hAnsi="Tahoma" w:eastAsia="Tahoma" w:cs="Tahoma"/>
          <w:i/>
          <w:iCs/>
          <w:color w:val="000000"/>
          <w:sz w:val="24"/>
          <w:szCs w:val="24"/>
        </w:rPr>
        <w:t xml:space="preserve">Vitis
vinifera</w:t>
      </w:r>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Wilder
Wein
(</w:t>
      </w:r>
      <w:r>
        <w:rPr>
          <w:rFonts w:ascii="Tahoma" w:hAnsi="Tahoma" w:eastAsia="Tahoma" w:cs="Tahoma"/>
          <w:i/>
          <w:iCs/>
          <w:color w:val="000000"/>
          <w:sz w:val="24"/>
          <w:szCs w:val="24"/>
        </w:rPr>
        <w:t xml:space="preserve">Parthenocissus
quinequefolius</w:t>
      </w:r>
      <w:r>
        <w:rPr>
          <w:rFonts w:ascii="Tahoma" w:hAnsi="Tahoma" w:eastAsia="Tahoma" w:cs="Tahoma"/>
          <w:color w:val="000000"/>
          <w:sz w:val="24"/>
          <w:szCs w:val="24"/>
        </w:rPr>
        <w:t xml:space="preserv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Bläulingszikade
stammt
aus
Nordamerika
und
wurde
innerhalb
Europas
erstmals
in
Italien
gefunden.
Sie
hat
sich
in
Slowenien
und
Kroatien
ausgebreitet.
Regional
tritt
sie
in
Frankreich,
der
Schweiz,
Spanien,
Ungarn,
Serbien,
Montenegro,
Bulgarien,
Griechenland,
der
Türkei
und
Deutschland
auf.
Sie
wurde
auch
nach
Südkorea
verbracht.</w:t>
      </w:r>
    </w:p>
    <w:p>
      <w:pPr>
        <w:widowControl w:val="on"/>
        <w:pBdr/>
        <w:spacing w:before="240" w:after="240" w:line="240" w:lineRule="auto"/>
        <w:ind w:left="0" w:right="0"/>
        <w:jc w:val="left"/>
      </w:pPr>
      <w:r>
        <w:rPr>
          <w:rFonts w:ascii="Tahoma" w:hAnsi="Tahoma" w:eastAsia="Tahoma" w:cs="Tahoma"/>
          <w:color w:val="000000"/>
          <w:sz w:val="24"/>
          <w:szCs w:val="24"/>
        </w:rPr>
        <w:t xml:space="preserve">
In
Österreich
wurde
die
Bläulingszikade
erstmalig
in
Graz
(1996)
gefunden
und
2003
das
erste
Massenvorkommen
in
Wien
festgestellt.
Seither
hat
sich
das
Verbreitungsgebiet
der
Bläulingszikade
vor
allem
im
Osten
Österreichs
vergrößert
und
es
gibt
zahlreiche
Vorkommen
in
Wien,
Niederösterreich,
Burgenland
und
der
Steiermark.
Funde
der
Bläulingszikade
gibt
es
auch
in
Klagenfurt.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Die
natürliche
Ausbreitung
der
Zikade
ist
gering,
es
besteht
jedoch
das
Risiko,
dass
sie
durch
menschliche
Aktivitäten
unbemerkt
verschleppt
wird.</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Zu
wirtschaftlichen
Schäden
kann
es
kommen,
wenn
die
Bläulingszikade
in
Massen
auftritt
und
durch
ihre
Wachsreste,
Honigtau
beziehungsweise
Rußtaupilze
die
Vermarktungsfähigkeit
von
Pflanzen
bzw.
Früchten
vermindert.
In
Österreich
wurden
bisher
noch
keine
Schäden
an
Kulturpflanzen
gemeldet. </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Vermeidung
der
Verschleppung:
keine
Transporte
befallener
Pflanzen,
oder
solcher
Pflanzen,
die
in
der
Nähe
stark
befallener
Pflanzen
stehen
oder
gestanden
sind.
Das
Risiko
einer
unbemerkten
Verschleppung
ist
besonders
hoch,
da
die
Eier
der
Bläulingszikade
im
Rindenkork
versteckt
sind. </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Zurückschneiden
von
Zweigen
in
der
kalten
Jahreszeit,
da
sich
daran
die
überwinternden
Eier
befinden.
Eier
werden
allerdings
auch
an
ältere
Zweige
und
Stämme
abgelegt,
die
nicht
geschnitten
werden
können.</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Spritzbehandlung
mit
Mitteln
gegen
saugende
Insekten
(Netzmittel
erforderlich),
(siehe
</w:t>
      </w:r>
      <w:hyperlink r:id="rId42016790a418cd4fe" w:history="1">
        <w:r>
          <w:rPr>
            <w:rFonts w:ascii="Tahoma" w:hAnsi="Tahoma" w:eastAsia="Tahoma" w:cs="Tahoma"/>
            <w:color w:val="000000"/>
            <w:sz w:val="24"/>
            <w:szCs w:val="24"/>
            <w:u w:val="single"/>
          </w:rPr>
          <w:t xml:space="preserve">
Verzeichnis
der
in
Österreich
zugelassenen
Pflanzenschutzmittel</w:t>
        </w:r>
      </w:hyperlink>
      <w:r>
        <w:rPr>
          <w:rFonts w:ascii="Tahoma" w:hAnsi="Tahoma" w:eastAsia="Tahoma" w:cs="Tahoma"/>
          <w:color w:val="000000"/>
          <w:sz w:val="24"/>
          <w:szCs w:val="24"/>
        </w:rPr>
        <w:t xml:space="preserve">).</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Im
südeuropäischen
Obst-
und
Weinbau
(Italien,
Frankreich,
Slowenien,
Kroatien)
wird
die
Bläulingszikade
seit
einigen
Jahren
sehr
erfolgreich
auf
biologische
Weise
bekämpft:
dazu
wird
die
aus
Nordamerika
stammende
parasitische
Zikadenwespe
Neodryinus
typhlocybae
freigelassen.</w:t>
      </w:r>
    </w:p>
    <w:p>
      <w:pPr>
        <w:numPr>
          <w:ilvl w:val="0"/>
          <w:numId w:val="4458"/>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In
Wien
wurde
2014
eine
kleine
Population
der
Zikadenwespe
N.
typhlocybae
zu
Forschungszwecken
freigelassen.
Zuvor
war
ihr
Wirtstierkreis
in
Bezug
auf
heimische
Zikadenarten
von
uns
untersucht
worden.
Die
Ergebnisse
dieser
Untersuchung
zeigten
deutlich,
dass
diese
Zikadenwespe
sehr
stark
auf
Schmetterlingszikaden
spezialisiert
ist.
Aus
dieser
Gruppe
kommt
in
Österreich
aber
nur
die
Bläulingszikade
vor.
Es
besteht
somit
kein
Risiko
für
heimische
Zikadenarten.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Publikationen</w:t>
      </w:r>
    </w:p>
    <w:p>
      <w:pPr>
        <w:widowControl w:val="on"/>
        <w:pBdr/>
        <w:spacing w:before="240" w:after="240" w:line="240" w:lineRule="auto"/>
        <w:ind w:left="0" w:right="0"/>
        <w:jc w:val="left"/>
      </w:pPr>
      <w:r>
        <w:rPr>
          <w:rFonts w:ascii="Tahoma" w:hAnsi="Tahoma" w:eastAsia="Tahoma" w:cs="Tahoma"/>
          <w:color w:val="000000"/>
          <w:sz w:val="24"/>
          <w:szCs w:val="24"/>
        </w:rPr>
        <w:t xml:space="preserve">
Strauß,
G.,
2013.
</w:t>
      </w:r>
      <w:hyperlink r:id="rId58916790a418cd5cb" w:history="1">
        <w:r>
          <w:rPr>
            <w:rFonts w:ascii="Tahoma" w:hAnsi="Tahoma" w:eastAsia="Tahoma" w:cs="Tahoma"/>
            <w:color w:val="000000"/>
            <w:sz w:val="24"/>
            <w:szCs w:val="24"/>
            <w:u w:val="single"/>
          </w:rPr>
          <w:t xml:space="preserve">
Evaluation
of
potential
non-target
effects
of
Neodryinus
typhlocybae,
biocontrol
agent
of
Metcalfa
pruinosa,
for
Austria</w:t>
        </w:r>
      </w:hyperlink>
      <w:r>
        <w:rPr>
          <w:rFonts w:ascii="Tahoma" w:hAnsi="Tahoma" w:eastAsia="Tahoma" w:cs="Tahoma"/>
          <w:color w:val="000000"/>
          <w:sz w:val="24"/>
          <w:szCs w:val="24"/>
        </w:rPr>
        <w:t xml:space="preserve">.
IOBC-WPRS
Bulletin,
94,
87-88.</w:t>
      </w:r>
    </w:p>
    <w:p>
      <w:pPr>
        <w:widowControl w:val="on"/>
        <w:pBdr/>
        <w:spacing w:before="240" w:after="240" w:line="240" w:lineRule="auto"/>
        <w:ind w:left="0" w:right="0"/>
        <w:jc w:val="left"/>
      </w:pPr>
      <w:r>
        <w:rPr>
          <w:rFonts w:ascii="Tahoma" w:hAnsi="Tahoma" w:eastAsia="Tahoma" w:cs="Tahoma"/>
          <w:color w:val="000000"/>
          <w:sz w:val="24"/>
          <w:szCs w:val="24"/>
        </w:rPr>
        <w:t xml:space="preserve">
Strauß,
G.,
2012.
</w:t>
      </w:r>
      <w:hyperlink r:id="rId97996790a418cd60d" w:history="1">
        <w:r>
          <w:rPr>
            <w:rFonts w:ascii="Tahoma" w:hAnsi="Tahoma" w:eastAsia="Tahoma" w:cs="Tahoma"/>
            <w:color w:val="000000"/>
            <w:sz w:val="24"/>
            <w:szCs w:val="24"/>
            <w:u w:val="single"/>
          </w:rPr>
          <w:t xml:space="preserve">
Environmental
risk
assessment
for
Neodryinus
typhlocybae,
biological
control
agent
against
Metcalfa
pruinosa,
for
Austria</w:t>
        </w:r>
      </w:hyperlink>
      <w:r>
        <w:rPr>
          <w:rFonts w:ascii="Tahoma" w:hAnsi="Tahoma" w:eastAsia="Tahoma" w:cs="Tahoma"/>
          <w:color w:val="000000"/>
          <w:sz w:val="24"/>
          <w:szCs w:val="24"/>
        </w:rPr>
        <w:t xml:space="preserve">.
European
Journal
of
Environmental
Sciences,
2(2),
102-109.</w:t>
      </w:r>
    </w:p>
    <w:p>
      <w:pPr>
        <w:widowControl w:val="on"/>
        <w:pBdr/>
        <w:spacing w:before="240" w:after="240" w:line="240" w:lineRule="auto"/>
        <w:ind w:left="0" w:right="0"/>
        <w:jc w:val="left"/>
      </w:pPr>
      <w:r>
        <w:rPr>
          <w:rFonts w:ascii="Tahoma" w:hAnsi="Tahoma" w:eastAsia="Tahoma" w:cs="Tahoma"/>
          <w:color w:val="000000"/>
          <w:sz w:val="24"/>
          <w:szCs w:val="24"/>
        </w:rPr>
        <w:t xml:space="preserve">
Kahrer,
A.,
Strauß,
G.,
Stolz,
M.,
Moosbeckhofer,
R.,
2009.
</w:t>
      </w:r>
      <w:hyperlink r:id="rId26916790a418cd62a" w:history="1">
        <w:r>
          <w:rPr>
            <w:rFonts w:ascii="Tahoma" w:hAnsi="Tahoma" w:eastAsia="Tahoma" w:cs="Tahoma"/>
            <w:color w:val="000000"/>
            <w:sz w:val="24"/>
            <w:szCs w:val="24"/>
            <w:u w:val="single"/>
          </w:rPr>
          <w:t xml:space="preserve">
Beobachtungen
zu
Faunistik
und
Biologie
der
vor
kurzem
nach
Österreich
eingeschleppten
Bläulingszikade
(Metcalfa
pruinosa)</w:t>
        </w:r>
      </w:hyperlink>
      <w:r>
        <w:rPr>
          <w:rFonts w:ascii="Tahoma" w:hAnsi="Tahoma" w:eastAsia="Tahoma" w:cs="Tahoma"/>
          <w:color w:val="000000"/>
          <w:sz w:val="24"/>
          <w:szCs w:val="24"/>
        </w:rPr>
        <w:t xml:space="preserve">.
Beiträge
zur
Entomofaunistik,
10,
17-30.</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Downloads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38626790a418cd66a"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91016790a418d0815"/>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6813">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785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846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41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64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44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60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50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68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30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63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75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56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77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30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79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18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28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50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92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24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28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02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43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459">
    <w:multiLevelType w:val="hybridMultilevel"/>
    <w:lvl w:ilvl="0" w:tplc="55354814">
      <w:start w:val="1"/>
      <w:numFmt w:val="decimal"/>
      <w:lvlText w:val="%1."/>
      <w:lvlJc w:val="left"/>
      <w:pPr>
        <w:ind w:left="720" w:hanging="360"/>
      </w:pPr>
    </w:lvl>
    <w:lvl w:ilvl="1" w:tplc="55354814" w:tentative="1">
      <w:start w:val="1"/>
      <w:numFmt w:val="lowerLetter"/>
      <w:lvlText w:val="%2."/>
      <w:lvlJc w:val="left"/>
      <w:pPr>
        <w:ind w:left="1440" w:hanging="360"/>
      </w:pPr>
    </w:lvl>
    <w:lvl w:ilvl="2" w:tplc="55354814" w:tentative="1">
      <w:start w:val="1"/>
      <w:numFmt w:val="lowerRoman"/>
      <w:lvlText w:val="%3."/>
      <w:lvlJc w:val="right"/>
      <w:pPr>
        <w:ind w:left="2160" w:hanging="180"/>
      </w:pPr>
    </w:lvl>
    <w:lvl w:ilvl="3" w:tplc="55354814" w:tentative="1">
      <w:start w:val="1"/>
      <w:numFmt w:val="decimal"/>
      <w:lvlText w:val="%4."/>
      <w:lvlJc w:val="left"/>
      <w:pPr>
        <w:ind w:left="2880" w:hanging="360"/>
      </w:pPr>
    </w:lvl>
    <w:lvl w:ilvl="4" w:tplc="55354814" w:tentative="1">
      <w:start w:val="1"/>
      <w:numFmt w:val="lowerLetter"/>
      <w:lvlText w:val="%5."/>
      <w:lvlJc w:val="left"/>
      <w:pPr>
        <w:ind w:left="3600" w:hanging="360"/>
      </w:pPr>
    </w:lvl>
    <w:lvl w:ilvl="5" w:tplc="55354814" w:tentative="1">
      <w:start w:val="1"/>
      <w:numFmt w:val="lowerRoman"/>
      <w:lvlText w:val="%6."/>
      <w:lvlJc w:val="right"/>
      <w:pPr>
        <w:ind w:left="4320" w:hanging="180"/>
      </w:pPr>
    </w:lvl>
    <w:lvl w:ilvl="6" w:tplc="55354814" w:tentative="1">
      <w:start w:val="1"/>
      <w:numFmt w:val="decimal"/>
      <w:lvlText w:val="%7."/>
      <w:lvlJc w:val="left"/>
      <w:pPr>
        <w:ind w:left="5040" w:hanging="360"/>
      </w:pPr>
    </w:lvl>
    <w:lvl w:ilvl="7" w:tplc="55354814" w:tentative="1">
      <w:start w:val="1"/>
      <w:numFmt w:val="lowerLetter"/>
      <w:lvlText w:val="%8."/>
      <w:lvlJc w:val="left"/>
      <w:pPr>
        <w:ind w:left="5760" w:hanging="360"/>
      </w:pPr>
    </w:lvl>
    <w:lvl w:ilvl="8" w:tplc="55354814" w:tentative="1">
      <w:start w:val="1"/>
      <w:numFmt w:val="lowerRoman"/>
      <w:lvlText w:val="%9."/>
      <w:lvlJc w:val="right"/>
      <w:pPr>
        <w:ind w:left="6480" w:hanging="180"/>
      </w:pPr>
    </w:lvl>
  </w:abstractNum>
  <w:abstractNum w:abstractNumId="4458">
    <w:multiLevelType w:val="hybridMultilevel"/>
    <w:lvl w:ilvl="0" w:tplc="598491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4458">
    <w:abstractNumId w:val="4458"/>
  </w:num>
  <w:num w:numId="4459">
    <w:abstractNumId w:val="4459"/>
  </w:num>
  <w:num w:numId="6430">
    <w:abstractNumId w:val="6430"/>
  </w:num>
  <w:num w:numId="2026">
    <w:abstractNumId w:val="2026"/>
  </w:num>
  <w:num w:numId="9287">
    <w:abstractNumId w:val="9287"/>
  </w:num>
  <w:num w:numId="4247">
    <w:abstractNumId w:val="4247"/>
  </w:num>
  <w:num w:numId="9929">
    <w:abstractNumId w:val="9929"/>
  </w:num>
  <w:num w:numId="3503">
    <w:abstractNumId w:val="3503"/>
  </w:num>
  <w:num w:numId="5282">
    <w:abstractNumId w:val="5282"/>
  </w:num>
  <w:num w:numId="3188">
    <w:abstractNumId w:val="3188"/>
  </w:num>
  <w:num w:numId="7794">
    <w:abstractNumId w:val="7794"/>
  </w:num>
  <w:num w:numId="6302">
    <w:abstractNumId w:val="6302"/>
  </w:num>
  <w:num w:numId="7776">
    <w:abstractNumId w:val="7776"/>
  </w:num>
  <w:num w:numId="3565">
    <w:abstractNumId w:val="3565"/>
  </w:num>
  <w:num w:numId="5754">
    <w:abstractNumId w:val="5754"/>
  </w:num>
  <w:num w:numId="7631">
    <w:abstractNumId w:val="7631"/>
  </w:num>
  <w:num w:numId="6307">
    <w:abstractNumId w:val="6307"/>
  </w:num>
  <w:num w:numId="6685">
    <w:abstractNumId w:val="6685"/>
  </w:num>
  <w:num w:numId="1507">
    <w:abstractNumId w:val="1507"/>
  </w:num>
  <w:num w:numId="3602">
    <w:abstractNumId w:val="3602"/>
  </w:num>
  <w:num w:numId="1442">
    <w:abstractNumId w:val="1442"/>
  </w:num>
  <w:num w:numId="1645">
    <w:abstractNumId w:val="1645"/>
  </w:num>
  <w:num w:numId="9418">
    <w:abstractNumId w:val="9418"/>
  </w:num>
  <w:num w:numId="8463">
    <w:abstractNumId w:val="8463"/>
  </w:num>
  <w:num w:numId="7854">
    <w:abstractNumId w:val="7854"/>
  </w:num>
  <w:num w:numId="6813">
    <w:abstractNumId w:val="6813"/>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960373770" Type="http://schemas.openxmlformats.org/officeDocument/2006/relationships/footnotes" Target="footnotes.xml"/><Relationship Id="rId132856104" Type="http://schemas.openxmlformats.org/officeDocument/2006/relationships/endnotes" Target="endnotes.xml"/><Relationship Id="rId575053573" Type="http://schemas.openxmlformats.org/officeDocument/2006/relationships/comments" Target="comments.xml"/><Relationship Id="rId730966174" Type="http://schemas.microsoft.com/office/2011/relationships/commentsExtended" Target="commentsExtended.xml"/><Relationship Id="rId367113445" Type="http://schemas.microsoft.com/office/2011/relationships/people" Target="people.xml"/><Relationship Id="rId42016790a418cd4fe" Type="http://schemas.openxmlformats.org/officeDocument/2006/relationships/hyperlink" Target="https://www.baes.gv.at/zulassung/pflanzenschutzmittel/pflanzenschutzmittelregister/" TargetMode="External"/><Relationship Id="rId58916790a418cd5cb" Type="http://schemas.openxmlformats.org/officeDocument/2006/relationships/hyperlink" Target="https://iobc-wprs.org/publication-category/iobc-wprs-bulletins/2013" TargetMode="External"/><Relationship Id="rId97996790a418cd60d" Type="http://schemas.openxmlformats.org/officeDocument/2006/relationships/hyperlink" Target="https://ejes.cz/index.php/ejes/article/view/44" TargetMode="External"/><Relationship Id="rId26916790a418cd62a" Type="http://schemas.openxmlformats.org/officeDocument/2006/relationships/hyperlink" Target="https://www.zobodat.at/pdf/BEF_10_0017-0030.pdf" TargetMode="External"/><Relationship Id="rId38626790a418cd66a" Type="http://schemas.openxmlformats.org/officeDocument/2006/relationships/hyperlink" Target="pflanze/pflanzengesundheit/pflanzengesundheit-services" TargetMode="External"/><Relationship Id="rId46076790a4187629a" Type="http://schemas.openxmlformats.org/officeDocument/2006/relationships/image" Target="media/imgrId46076790a4187629a.jpg"/><Relationship Id="rId30716790a41886fb7" Type="http://schemas.openxmlformats.org/officeDocument/2006/relationships/image" Target="media/imgrId30716790a41886fb7.jpg"/><Relationship Id="rId54866790a41897df6" Type="http://schemas.openxmlformats.org/officeDocument/2006/relationships/image" Target="media/imgrId54866790a41897df6.jpg"/><Relationship Id="rId58716790a418a8e64" Type="http://schemas.openxmlformats.org/officeDocument/2006/relationships/image" Target="media/imgrId58716790a418a8e64.jpg"/><Relationship Id="rId99026790a418b9714" Type="http://schemas.openxmlformats.org/officeDocument/2006/relationships/image" Target="media/imgrId99026790a418b9714.jpg"/><Relationship Id="rId41936790a418ccfdc" Type="http://schemas.openxmlformats.org/officeDocument/2006/relationships/image" Target="media/imgrId41936790a418ccfdc.jpg"/><Relationship Id="rId91016790a418d0815"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